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Aree ludiche ed elementi di arredo alle aree di pertinenza - attivita' edilizia libera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Aree ludiche senza fine di lucro ed elementi di arredo delle aree pertinenziali degli edifici.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D.P.R. n.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1C0433" w:rsidRDefault="00725C2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725C27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t>xxx giorni, in conformita' al Regolamento sull'attivita' e i procedimenti amministrativi</w:t>
            </w:r>
          </w:p>
          <w:p w:rsidR="001C0433" w:rsidRDefault="00725C27">
            <w:pPr>
              <w:jc w:val="both"/>
            </w:pPr>
            <w:r>
              <w:rPr>
                <w:rFonts w:ascii="Arial" w:hAnsi="Arial"/>
              </w:rPr>
              <w:lastRenderedPageBreak/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ricorso al TAR entro 30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25C2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C0433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25C27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C5350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F5709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2026-06-14T19:59:00Z</dcterms:modified>
</cp:coreProperties>
</file>